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01FC" w14:textId="7B6C3E5A" w:rsidR="00FE067E" w:rsidRPr="00B778A7" w:rsidRDefault="00CD36CF" w:rsidP="00CC1F3B">
      <w:pPr>
        <w:pStyle w:val="TitlePageOrigin"/>
        <w:rPr>
          <w:color w:val="auto"/>
        </w:rPr>
      </w:pPr>
      <w:r w:rsidRPr="00B778A7">
        <w:rPr>
          <w:color w:val="auto"/>
        </w:rPr>
        <w:t>WEST virginia legislature</w:t>
      </w:r>
    </w:p>
    <w:p w14:paraId="239B0C39" w14:textId="44DCD9FE" w:rsidR="00CD36CF" w:rsidRPr="00B778A7" w:rsidRDefault="00CD36CF" w:rsidP="00CC1F3B">
      <w:pPr>
        <w:pStyle w:val="TitlePageSession"/>
        <w:rPr>
          <w:color w:val="auto"/>
        </w:rPr>
      </w:pPr>
      <w:r w:rsidRPr="00B778A7">
        <w:rPr>
          <w:color w:val="auto"/>
        </w:rPr>
        <w:t>20</w:t>
      </w:r>
      <w:r w:rsidR="007F29DD" w:rsidRPr="00B778A7">
        <w:rPr>
          <w:color w:val="auto"/>
        </w:rPr>
        <w:t>2</w:t>
      </w:r>
      <w:r w:rsidR="00B86EC2" w:rsidRPr="00B778A7">
        <w:rPr>
          <w:color w:val="auto"/>
        </w:rPr>
        <w:t>3</w:t>
      </w:r>
      <w:r w:rsidRPr="00B778A7">
        <w:rPr>
          <w:color w:val="auto"/>
        </w:rPr>
        <w:t xml:space="preserve"> regular session</w:t>
      </w:r>
    </w:p>
    <w:p w14:paraId="0E309ADC" w14:textId="4484640F" w:rsidR="00CD36CF" w:rsidRPr="00B778A7" w:rsidRDefault="00335319" w:rsidP="00CC1F3B">
      <w:pPr>
        <w:pStyle w:val="TitlePageBillPrefix"/>
        <w:rPr>
          <w:color w:val="auto"/>
        </w:rPr>
      </w:pPr>
      <w:sdt>
        <w:sdtPr>
          <w:rPr>
            <w:color w:val="auto"/>
          </w:rPr>
          <w:tag w:val="IntroDate"/>
          <w:id w:val="-1236936958"/>
          <w:placeholder>
            <w:docPart w:val="538F4BDD36024FFB9FC4CC97557E259E"/>
          </w:placeholder>
          <w:text/>
        </w:sdtPr>
        <w:sdtEndPr/>
        <w:sdtContent>
          <w:r w:rsidR="00B12DA4" w:rsidRPr="00B778A7">
            <w:rPr>
              <w:color w:val="auto"/>
            </w:rPr>
            <w:t>Enrolled</w:t>
          </w:r>
        </w:sdtContent>
      </w:sdt>
    </w:p>
    <w:p w14:paraId="79B1AD94" w14:textId="12E9FA45" w:rsidR="00CD36CF" w:rsidRPr="00B778A7" w:rsidRDefault="00335319" w:rsidP="00CC1F3B">
      <w:pPr>
        <w:pStyle w:val="BillNumber"/>
        <w:rPr>
          <w:color w:val="auto"/>
        </w:rPr>
      </w:pPr>
      <w:sdt>
        <w:sdtPr>
          <w:rPr>
            <w:color w:val="auto"/>
          </w:rPr>
          <w:tag w:val="Chamber"/>
          <w:id w:val="893011969"/>
          <w:lock w:val="sdtLocked"/>
          <w:placeholder>
            <w:docPart w:val="337CA8AADD024207BBAA0DA199A56B0B"/>
          </w:placeholder>
          <w:dropDownList>
            <w:listItem w:displayText="House" w:value="House"/>
            <w:listItem w:displayText="Senate" w:value="Senate"/>
          </w:dropDownList>
        </w:sdtPr>
        <w:sdtEndPr/>
        <w:sdtContent>
          <w:r w:rsidR="005D7E17" w:rsidRPr="00B778A7">
            <w:rPr>
              <w:color w:val="auto"/>
            </w:rPr>
            <w:t>Senate</w:t>
          </w:r>
        </w:sdtContent>
      </w:sdt>
      <w:r w:rsidR="00303684" w:rsidRPr="00B778A7">
        <w:rPr>
          <w:color w:val="auto"/>
        </w:rPr>
        <w:t xml:space="preserve"> </w:t>
      </w:r>
      <w:r w:rsidR="00CD36CF" w:rsidRPr="00B778A7">
        <w:rPr>
          <w:color w:val="auto"/>
        </w:rPr>
        <w:t xml:space="preserve">Bill </w:t>
      </w:r>
      <w:sdt>
        <w:sdtPr>
          <w:rPr>
            <w:color w:val="auto"/>
          </w:rPr>
          <w:tag w:val="BNum"/>
          <w:id w:val="1645317809"/>
          <w:lock w:val="sdtLocked"/>
          <w:placeholder>
            <w:docPart w:val="57F6B754012B43938D9606CADF55750A"/>
          </w:placeholder>
          <w:text/>
        </w:sdtPr>
        <w:sdtEndPr/>
        <w:sdtContent>
          <w:r w:rsidR="00506C2A" w:rsidRPr="00B778A7">
            <w:rPr>
              <w:color w:val="auto"/>
            </w:rPr>
            <w:t>1</w:t>
          </w:r>
          <w:r w:rsidR="00582932">
            <w:rPr>
              <w:color w:val="auto"/>
            </w:rPr>
            <w:t>2</w:t>
          </w:r>
          <w:r w:rsidR="00506C2A" w:rsidRPr="00B778A7">
            <w:rPr>
              <w:color w:val="auto"/>
            </w:rPr>
            <w:t>8</w:t>
          </w:r>
        </w:sdtContent>
      </w:sdt>
    </w:p>
    <w:p w14:paraId="305D07CB" w14:textId="0D5175A1" w:rsidR="00CD36CF" w:rsidRPr="00B778A7" w:rsidRDefault="00CD36CF" w:rsidP="00CC1F3B">
      <w:pPr>
        <w:pStyle w:val="Sponsors"/>
        <w:rPr>
          <w:color w:val="auto"/>
        </w:rPr>
      </w:pPr>
      <w:r w:rsidRPr="00B778A7">
        <w:rPr>
          <w:color w:val="auto"/>
        </w:rPr>
        <w:t xml:space="preserve">By </w:t>
      </w:r>
      <w:sdt>
        <w:sdtPr>
          <w:rPr>
            <w:rFonts w:cs="Arial"/>
          </w:rPr>
          <w:tag w:val="Sponsors"/>
          <w:id w:val="1589585889"/>
          <w:placeholder>
            <w:docPart w:val="55B257E812444859B906AE57EF48C763"/>
          </w:placeholder>
          <w:text w:multiLine="1"/>
        </w:sdtPr>
        <w:sdtEndPr/>
        <w:sdtContent>
          <w:r w:rsidR="00D27222" w:rsidRPr="00B778A7">
            <w:rPr>
              <w:rFonts w:cs="Arial"/>
            </w:rPr>
            <w:t>Senators  Smith, Tarr, Azinger, Roberts, Deeds, Boley, Rucker, Taylor</w:t>
          </w:r>
          <w:r w:rsidR="007C4E67" w:rsidRPr="00B778A7">
            <w:rPr>
              <w:rFonts w:cs="Arial"/>
            </w:rPr>
            <w:t>,</w:t>
          </w:r>
          <w:r w:rsidR="00241C9F" w:rsidRPr="00B778A7">
            <w:rPr>
              <w:rFonts w:cs="Arial"/>
            </w:rPr>
            <w:t xml:space="preserve"> </w:t>
          </w:r>
          <w:r w:rsidR="007C4E67" w:rsidRPr="00B778A7">
            <w:rPr>
              <w:rFonts w:cs="Arial"/>
            </w:rPr>
            <w:t>Karnes</w:t>
          </w:r>
          <w:r w:rsidR="00241C9F" w:rsidRPr="00B778A7">
            <w:rPr>
              <w:rFonts w:cs="Arial"/>
            </w:rPr>
            <w:t>, and Woodrum</w:t>
          </w:r>
        </w:sdtContent>
      </w:sdt>
    </w:p>
    <w:p w14:paraId="7C00C87D" w14:textId="1F41D415" w:rsidR="00E831B3" w:rsidRPr="00B778A7" w:rsidRDefault="00CD36CF" w:rsidP="00CC1F3B">
      <w:pPr>
        <w:pStyle w:val="References"/>
        <w:rPr>
          <w:color w:val="auto"/>
        </w:rPr>
      </w:pPr>
      <w:r w:rsidRPr="00B778A7">
        <w:rPr>
          <w:color w:val="auto"/>
        </w:rPr>
        <w:t>[</w:t>
      </w:r>
      <w:sdt>
        <w:sdtPr>
          <w:rPr>
            <w:color w:val="auto"/>
          </w:rPr>
          <w:tag w:val="References"/>
          <w:id w:val="-1043047873"/>
          <w:placeholder>
            <w:docPart w:val="10B9FCC03D2D4208B800FA94CBC2F4BB"/>
          </w:placeholder>
          <w:text w:multiLine="1"/>
        </w:sdtPr>
        <w:sdtEndPr/>
        <w:sdtContent>
          <w:r w:rsidR="001326BB" w:rsidRPr="00B778A7">
            <w:rPr>
              <w:color w:val="auto"/>
            </w:rPr>
            <w:t>Passed February 23, 2023; in effect from passage</w:t>
          </w:r>
        </w:sdtContent>
      </w:sdt>
      <w:r w:rsidRPr="00B778A7">
        <w:rPr>
          <w:color w:val="auto"/>
        </w:rPr>
        <w:t>]</w:t>
      </w:r>
    </w:p>
    <w:p w14:paraId="1234CD90" w14:textId="6E831750" w:rsidR="00B12DA4" w:rsidRPr="00B778A7" w:rsidRDefault="00B12DA4" w:rsidP="00CC1F3B">
      <w:pPr>
        <w:pStyle w:val="References"/>
        <w:rPr>
          <w:color w:val="auto"/>
        </w:rPr>
      </w:pPr>
    </w:p>
    <w:p w14:paraId="36224097" w14:textId="15978CAD" w:rsidR="00B12DA4" w:rsidRPr="00B778A7" w:rsidRDefault="00B12DA4" w:rsidP="00CC1F3B">
      <w:pPr>
        <w:pStyle w:val="References"/>
        <w:rPr>
          <w:color w:val="auto"/>
        </w:rPr>
      </w:pPr>
    </w:p>
    <w:p w14:paraId="71FC9259" w14:textId="00EF1106" w:rsidR="00B12DA4" w:rsidRPr="00B778A7" w:rsidRDefault="00B12DA4" w:rsidP="00CC1F3B">
      <w:pPr>
        <w:pStyle w:val="References"/>
        <w:rPr>
          <w:color w:val="auto"/>
        </w:rPr>
      </w:pPr>
    </w:p>
    <w:p w14:paraId="6E6CD15E" w14:textId="3365AD3C" w:rsidR="00B12DA4" w:rsidRPr="00B778A7" w:rsidRDefault="00B12DA4" w:rsidP="00CC1F3B">
      <w:pPr>
        <w:pStyle w:val="References"/>
        <w:rPr>
          <w:color w:val="auto"/>
        </w:rPr>
      </w:pPr>
    </w:p>
    <w:p w14:paraId="5EB392BD" w14:textId="41CBA064" w:rsidR="00B12DA4" w:rsidRPr="00B778A7" w:rsidRDefault="00B12DA4" w:rsidP="00CC1F3B">
      <w:pPr>
        <w:pStyle w:val="References"/>
        <w:rPr>
          <w:color w:val="auto"/>
        </w:rPr>
      </w:pPr>
    </w:p>
    <w:p w14:paraId="3BD50168" w14:textId="74B2ADA3" w:rsidR="00B12DA4" w:rsidRPr="00B778A7" w:rsidRDefault="00B12DA4" w:rsidP="00CC1F3B">
      <w:pPr>
        <w:pStyle w:val="References"/>
        <w:rPr>
          <w:color w:val="auto"/>
        </w:rPr>
      </w:pPr>
    </w:p>
    <w:p w14:paraId="05BC2FF1" w14:textId="42301DAD" w:rsidR="00B12DA4" w:rsidRPr="00B778A7" w:rsidRDefault="00B12DA4" w:rsidP="00CC1F3B">
      <w:pPr>
        <w:pStyle w:val="References"/>
        <w:rPr>
          <w:color w:val="auto"/>
        </w:rPr>
      </w:pPr>
    </w:p>
    <w:p w14:paraId="4AEF58C1" w14:textId="08B7565A" w:rsidR="00B12DA4" w:rsidRPr="00B778A7" w:rsidRDefault="00B12DA4" w:rsidP="00CC1F3B">
      <w:pPr>
        <w:pStyle w:val="References"/>
        <w:rPr>
          <w:color w:val="auto"/>
        </w:rPr>
      </w:pPr>
    </w:p>
    <w:p w14:paraId="7C787057" w14:textId="77777777" w:rsidR="00B12DA4" w:rsidRPr="00B778A7" w:rsidRDefault="00B12DA4" w:rsidP="00CC1F3B">
      <w:pPr>
        <w:pStyle w:val="References"/>
        <w:rPr>
          <w:color w:val="auto"/>
        </w:rPr>
      </w:pPr>
    </w:p>
    <w:p w14:paraId="5C810AA9" w14:textId="123C7477" w:rsidR="00E64CBF" w:rsidRPr="00B778A7" w:rsidRDefault="00E64CBF" w:rsidP="00E64CBF">
      <w:pPr>
        <w:pStyle w:val="TitleSection"/>
      </w:pPr>
      <w:r w:rsidRPr="00B778A7">
        <w:lastRenderedPageBreak/>
        <w:t xml:space="preserve">AN ACT to amend and reenact §15-5-2 and §15-5-6 of the Code of West Virginia, 1931, as amended, all relating to states of emergency and preparedness; defining terms; clarifying the authority of the Governor and the Legislature to proclaim or  declare states of emergency and preparedness; creating two classes of states of preparedness and establishing the criteria therefor; establishing the initial duration of gubernatorially proclaimed states of emergency and preparedness and the requirements for extending same; expanding and clarifying the powers of the Governor as to what he or she may order under proclamations of states of emergency and preparedness; expressly limiting the Governor’s authority to order certain actions in an executive order issued pursuant to a proclamation or declaration of a state of emergency or preparedness; clarifying that the declaration of a state of preparedness has the same effect as a declaration of a state of emergency for the purposes of the Emergency Management Assistance Compact and the Statewide Mutual Aid System; and stating that the powers granted as to orders issued under states of emergency do not include the authority to limit the lawful possession and use of firearms and ammunitions. </w:t>
      </w:r>
    </w:p>
    <w:p w14:paraId="54AC649B" w14:textId="1A40624E" w:rsidR="00BF2788" w:rsidRPr="00B778A7" w:rsidRDefault="00303684" w:rsidP="00CC1F3B">
      <w:pPr>
        <w:pStyle w:val="EnactingClause"/>
        <w:rPr>
          <w:color w:val="auto"/>
        </w:rPr>
        <w:sectPr w:rsidR="00BF2788" w:rsidRPr="00B778A7" w:rsidSect="008531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778A7">
        <w:rPr>
          <w:color w:val="auto"/>
        </w:rPr>
        <w:t>Be it enacted by the Legislature of West Virginia:</w:t>
      </w:r>
    </w:p>
    <w:p w14:paraId="3DAD14A4" w14:textId="77777777" w:rsidR="005155E8" w:rsidRDefault="00AD6DBE" w:rsidP="005155E8">
      <w:pPr>
        <w:suppressLineNumbers/>
        <w:spacing w:after="0" w:line="480" w:lineRule="auto"/>
        <w:jc w:val="both"/>
        <w:rPr>
          <w:rFonts w:ascii="Arial" w:hAnsi="Arial" w:cs="Arial"/>
          <w:b/>
        </w:rPr>
      </w:pPr>
      <w:r w:rsidRPr="00B778A7">
        <w:rPr>
          <w:rFonts w:ascii="Arial" w:hAnsi="Arial" w:cs="Arial"/>
          <w:b/>
        </w:rPr>
        <w:t>ARTICLE 5. DIVISION OF HOMELAND SECURITY AND EMERGENCY MANAGEMENT.</w:t>
      </w:r>
    </w:p>
    <w:p w14:paraId="03E0E361" w14:textId="0621119B" w:rsidR="00DD54A3" w:rsidRDefault="00AD6DBE" w:rsidP="005155E8">
      <w:pPr>
        <w:suppressLineNumbers/>
        <w:spacing w:after="0" w:line="480" w:lineRule="auto"/>
        <w:jc w:val="both"/>
        <w:rPr>
          <w:rFonts w:ascii="Arial" w:hAnsi="Arial" w:cs="Arial"/>
          <w:b/>
        </w:rPr>
      </w:pPr>
      <w:r w:rsidRPr="00B778A7">
        <w:rPr>
          <w:rFonts w:ascii="Arial" w:hAnsi="Arial" w:cs="Arial"/>
          <w:b/>
        </w:rPr>
        <w:t>§15-5-2. Definitions.</w:t>
      </w:r>
    </w:p>
    <w:p w14:paraId="4858769F" w14:textId="0DBC1792" w:rsidR="00AD6DBE" w:rsidRPr="00B778A7" w:rsidRDefault="00AD6DBE" w:rsidP="005155E8">
      <w:pPr>
        <w:spacing w:after="0" w:line="480" w:lineRule="auto"/>
        <w:ind w:firstLine="720"/>
        <w:jc w:val="both"/>
        <w:rPr>
          <w:rFonts w:ascii="Arial" w:hAnsi="Arial" w:cs="Arial"/>
        </w:rPr>
      </w:pPr>
      <w:r w:rsidRPr="00B778A7">
        <w:rPr>
          <w:rFonts w:ascii="Arial" w:hAnsi="Arial" w:cs="Arial"/>
        </w:rPr>
        <w:t>As used in this article:</w:t>
      </w:r>
    </w:p>
    <w:p w14:paraId="04CB94F9" w14:textId="1C390A93"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 </w:t>
      </w:r>
      <w:r w:rsidR="00AC7925" w:rsidRPr="00B778A7">
        <w:rPr>
          <w:rFonts w:ascii="Arial" w:hAnsi="Arial" w:cs="Arial"/>
        </w:rPr>
        <w:t>"</w:t>
      </w:r>
      <w:r w:rsidRPr="00B778A7">
        <w:rPr>
          <w:rFonts w:ascii="Arial" w:hAnsi="Arial" w:cs="Arial"/>
        </w:rPr>
        <w:t>Board</w:t>
      </w:r>
      <w:r w:rsidR="00AC7925" w:rsidRPr="00B778A7">
        <w:rPr>
          <w:rFonts w:ascii="Arial" w:hAnsi="Arial" w:cs="Arial"/>
        </w:rPr>
        <w:t>"</w:t>
      </w:r>
      <w:r w:rsidRPr="00B778A7">
        <w:rPr>
          <w:rFonts w:ascii="Arial" w:hAnsi="Arial" w:cs="Arial"/>
        </w:rPr>
        <w:t xml:space="preserve"> means the West Virginia Disaster Recovery Board created by this article;</w:t>
      </w:r>
    </w:p>
    <w:p w14:paraId="111EB474" w14:textId="18FB3006"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(2) </w:t>
      </w:r>
      <w:r w:rsidR="00AC7925" w:rsidRPr="00B778A7">
        <w:rPr>
          <w:rFonts w:ascii="Arial" w:hAnsi="Arial" w:cs="Arial"/>
        </w:rPr>
        <w:t>"</w:t>
      </w:r>
      <w:r w:rsidRPr="00B778A7">
        <w:rPr>
          <w:rFonts w:ascii="Arial" w:hAnsi="Arial" w:cs="Arial"/>
        </w:rPr>
        <w:t>Code</w:t>
      </w:r>
      <w:r w:rsidR="00AC7925" w:rsidRPr="00B778A7">
        <w:rPr>
          <w:rFonts w:ascii="Arial" w:hAnsi="Arial" w:cs="Arial"/>
        </w:rPr>
        <w:t>"</w:t>
      </w:r>
      <w:r w:rsidRPr="00B778A7">
        <w:rPr>
          <w:rFonts w:ascii="Arial" w:hAnsi="Arial" w:cs="Arial"/>
        </w:rPr>
        <w:t xml:space="preserve"> means the Code of West Virginia, 1931, as amended;</w:t>
      </w:r>
    </w:p>
    <w:p w14:paraId="61FD8F1E" w14:textId="268C93FD"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(3) </w:t>
      </w:r>
      <w:r w:rsidR="00AC7925" w:rsidRPr="00B778A7">
        <w:rPr>
          <w:rFonts w:ascii="Arial" w:hAnsi="Arial" w:cs="Arial"/>
        </w:rPr>
        <w:t>"</w:t>
      </w:r>
      <w:r w:rsidRPr="00B778A7">
        <w:rPr>
          <w:rFonts w:ascii="Arial" w:hAnsi="Arial" w:cs="Arial"/>
        </w:rPr>
        <w:t>Community facilities</w:t>
      </w:r>
      <w:r w:rsidR="00AC7925" w:rsidRPr="00B778A7">
        <w:rPr>
          <w:rFonts w:ascii="Arial" w:hAnsi="Arial" w:cs="Arial"/>
        </w:rPr>
        <w:t>"</w:t>
      </w:r>
      <w:r w:rsidRPr="00B778A7">
        <w:rPr>
          <w:rFonts w:ascii="Arial" w:hAnsi="Arial" w:cs="Arial"/>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57686EF4" w14:textId="54B8A6DC" w:rsidR="00AD6DBE" w:rsidRPr="00B778A7" w:rsidRDefault="00AD6DBE" w:rsidP="00AD6DBE">
      <w:pPr>
        <w:spacing w:after="0" w:line="480" w:lineRule="auto"/>
        <w:ind w:firstLine="720"/>
        <w:jc w:val="both"/>
        <w:rPr>
          <w:rFonts w:ascii="Arial" w:hAnsi="Arial" w:cs="Arial"/>
        </w:rPr>
      </w:pPr>
      <w:r w:rsidRPr="00B778A7">
        <w:rPr>
          <w:rFonts w:ascii="Arial" w:hAnsi="Arial" w:cs="Arial"/>
        </w:rPr>
        <w:lastRenderedPageBreak/>
        <w:t xml:space="preserve">(4) </w:t>
      </w:r>
      <w:r w:rsidR="00AC7925" w:rsidRPr="00B778A7">
        <w:rPr>
          <w:rFonts w:ascii="Arial" w:hAnsi="Arial" w:cs="Arial"/>
        </w:rPr>
        <w:t>"</w:t>
      </w:r>
      <w:r w:rsidRPr="00B778A7">
        <w:rPr>
          <w:rFonts w:ascii="Arial" w:hAnsi="Arial" w:cs="Arial"/>
        </w:rPr>
        <w:t>Critical infrastructure</w:t>
      </w:r>
      <w:r w:rsidR="00AC7925" w:rsidRPr="00B778A7">
        <w:rPr>
          <w:rFonts w:ascii="Arial" w:hAnsi="Arial" w:cs="Arial"/>
        </w:rPr>
        <w:t>"</w:t>
      </w:r>
      <w:r w:rsidRPr="00B778A7">
        <w:rPr>
          <w:rFonts w:ascii="Arial" w:hAnsi="Arial" w:cs="Arial"/>
        </w:rPr>
        <w:t xml:space="preserv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5C75668C" w14:textId="29B27488"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(5) </w:t>
      </w:r>
      <w:r w:rsidR="00AC7925" w:rsidRPr="00B778A7">
        <w:rPr>
          <w:rFonts w:ascii="Arial" w:hAnsi="Arial" w:cs="Arial"/>
        </w:rPr>
        <w:t>"</w:t>
      </w:r>
      <w:r w:rsidRPr="00B778A7">
        <w:rPr>
          <w:rFonts w:ascii="Arial" w:hAnsi="Arial" w:cs="Arial"/>
        </w:rPr>
        <w:t>Disaster</w:t>
      </w:r>
      <w:r w:rsidR="00AC7925" w:rsidRPr="00B778A7">
        <w:rPr>
          <w:rFonts w:ascii="Arial" w:hAnsi="Arial" w:cs="Arial"/>
        </w:rPr>
        <w:t>"</w:t>
      </w:r>
      <w:r w:rsidRPr="00B778A7">
        <w:rPr>
          <w:rFonts w:ascii="Arial" w:hAnsi="Arial" w:cs="Arial"/>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1EEBF5E2" w14:textId="6EF18FE4"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(6) </w:t>
      </w:r>
      <w:r w:rsidR="00AC7925" w:rsidRPr="00B778A7">
        <w:rPr>
          <w:rFonts w:ascii="Arial" w:hAnsi="Arial" w:cs="Arial"/>
        </w:rPr>
        <w:t>"</w:t>
      </w:r>
      <w:r w:rsidRPr="00B778A7">
        <w:rPr>
          <w:rFonts w:ascii="Arial" w:hAnsi="Arial" w:cs="Arial"/>
        </w:rPr>
        <w:t>Disaster recovery activities</w:t>
      </w:r>
      <w:r w:rsidR="00AC7925" w:rsidRPr="00B778A7">
        <w:rPr>
          <w:rFonts w:ascii="Arial" w:hAnsi="Arial" w:cs="Arial"/>
        </w:rPr>
        <w:t>"</w:t>
      </w:r>
      <w:r w:rsidRPr="00B778A7">
        <w:rPr>
          <w:rFonts w:ascii="Arial" w:hAnsi="Arial" w:cs="Arial"/>
        </w:rPr>
        <w:t xml:space="preserve"> means activities undertaken prior to, during or following a disaster to provide, or to participate in the provision of, critical infrastructure, emergency services, temporary housing, residential housing, essential business activities, and community facilities;</w:t>
      </w:r>
    </w:p>
    <w:p w14:paraId="5D449D97" w14:textId="06199D5B"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(7) </w:t>
      </w:r>
      <w:r w:rsidR="00AC7925" w:rsidRPr="00B778A7">
        <w:rPr>
          <w:rFonts w:ascii="Arial" w:hAnsi="Arial" w:cs="Arial"/>
        </w:rPr>
        <w:t>"</w:t>
      </w:r>
      <w:r w:rsidRPr="00B778A7">
        <w:rPr>
          <w:rFonts w:ascii="Arial" w:hAnsi="Arial" w:cs="Arial"/>
        </w:rPr>
        <w:t>Emergency services</w:t>
      </w:r>
      <w:r w:rsidR="00AC7925" w:rsidRPr="00B778A7">
        <w:rPr>
          <w:rFonts w:ascii="Arial" w:hAnsi="Arial" w:cs="Arial"/>
        </w:rPr>
        <w:t>"</w:t>
      </w:r>
      <w:r w:rsidRPr="00B778A7">
        <w:rPr>
          <w:rFonts w:ascii="Arial" w:hAnsi="Arial" w:cs="Arial"/>
        </w:rPr>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w:t>
      </w:r>
      <w:r w:rsidRPr="00B778A7">
        <w:rPr>
          <w:rFonts w:ascii="Arial" w:hAnsi="Arial" w:cs="Arial"/>
        </w:rPr>
        <w:lastRenderedPageBreak/>
        <w:t>disaster as well as its occurrence and any power or authority exercisable on account of a disaster that may be exercised during the period when there is an imminent threat;</w:t>
      </w:r>
    </w:p>
    <w:p w14:paraId="2C5E966E" w14:textId="21786445"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(8) </w:t>
      </w:r>
      <w:r w:rsidR="00AC7925" w:rsidRPr="00B778A7">
        <w:rPr>
          <w:rFonts w:ascii="Arial" w:hAnsi="Arial" w:cs="Arial"/>
        </w:rPr>
        <w:t>"</w:t>
      </w:r>
      <w:r w:rsidRPr="00B778A7">
        <w:rPr>
          <w:rFonts w:ascii="Arial" w:hAnsi="Arial" w:cs="Arial"/>
        </w:rPr>
        <w:t>Essential business activities</w:t>
      </w:r>
      <w:r w:rsidR="00AC7925" w:rsidRPr="00B778A7">
        <w:rPr>
          <w:rFonts w:ascii="Arial" w:hAnsi="Arial" w:cs="Arial"/>
        </w:rPr>
        <w:t>"</w:t>
      </w:r>
      <w:r w:rsidRPr="00B778A7">
        <w:rPr>
          <w:rFonts w:ascii="Arial" w:hAnsi="Arial" w:cs="Arial"/>
        </w:rPr>
        <w:t xml:space="preserve">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5FD5C64C" w14:textId="651182FB"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(9) </w:t>
      </w:r>
      <w:r w:rsidR="00AC7925" w:rsidRPr="00B778A7">
        <w:rPr>
          <w:rFonts w:ascii="Arial" w:hAnsi="Arial" w:cs="Arial"/>
        </w:rPr>
        <w:t>"</w:t>
      </w:r>
      <w:r w:rsidRPr="00B778A7">
        <w:rPr>
          <w:rFonts w:ascii="Arial" w:hAnsi="Arial" w:cs="Arial"/>
        </w:rPr>
        <w:t>Local organization for emergency services</w:t>
      </w:r>
      <w:r w:rsidR="00AC7925" w:rsidRPr="00B778A7">
        <w:rPr>
          <w:rFonts w:ascii="Arial" w:hAnsi="Arial" w:cs="Arial"/>
        </w:rPr>
        <w:t>"</w:t>
      </w:r>
      <w:r w:rsidRPr="00B778A7">
        <w:rPr>
          <w:rFonts w:ascii="Arial" w:hAnsi="Arial" w:cs="Arial"/>
        </w:rPr>
        <w:t xml:space="preserve"> means an organization created in accordance with the provisions of this article by state or local authority to perform local emergency services function functions;</w:t>
      </w:r>
    </w:p>
    <w:p w14:paraId="272530C5" w14:textId="7264A4C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(10) </w:t>
      </w:r>
      <w:r w:rsidR="00AC7925" w:rsidRPr="00B778A7">
        <w:rPr>
          <w:rFonts w:ascii="Arial" w:hAnsi="Arial" w:cs="Arial"/>
        </w:rPr>
        <w:t>"</w:t>
      </w:r>
      <w:r w:rsidRPr="00B778A7">
        <w:rPr>
          <w:rFonts w:ascii="Arial" w:hAnsi="Arial" w:cs="Arial"/>
        </w:rPr>
        <w:t>Mobile support unit</w:t>
      </w:r>
      <w:r w:rsidR="00AC7925" w:rsidRPr="00B778A7">
        <w:rPr>
          <w:rFonts w:ascii="Arial" w:hAnsi="Arial" w:cs="Arial"/>
        </w:rPr>
        <w:t>"</w:t>
      </w:r>
      <w:r w:rsidRPr="00B778A7">
        <w:rPr>
          <w:rFonts w:ascii="Arial" w:hAnsi="Arial" w:cs="Arial"/>
        </w:rPr>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58CCC344" w14:textId="08C661E8"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(11) </w:t>
      </w:r>
      <w:r w:rsidR="00AC7925" w:rsidRPr="00B778A7">
        <w:rPr>
          <w:rFonts w:ascii="Arial" w:hAnsi="Arial" w:cs="Arial"/>
        </w:rPr>
        <w:t>"</w:t>
      </w:r>
      <w:r w:rsidRPr="00B778A7">
        <w:rPr>
          <w:rFonts w:ascii="Arial" w:hAnsi="Arial" w:cs="Arial"/>
        </w:rPr>
        <w:t>Person</w:t>
      </w:r>
      <w:r w:rsidR="00AC7925" w:rsidRPr="00B778A7">
        <w:rPr>
          <w:rFonts w:ascii="Arial" w:hAnsi="Arial" w:cs="Arial"/>
        </w:rPr>
        <w:t xml:space="preserve">" </w:t>
      </w:r>
      <w:r w:rsidRPr="00B778A7">
        <w:rPr>
          <w:rFonts w:ascii="Arial" w:hAnsi="Arial" w:cs="Arial"/>
        </w:rPr>
        <w:t>means any individual, corporation, voluntary organization or entity, partnership, firm, or other association, organization, or entity organized or existing under the laws of this or any other state or country;</w:t>
      </w:r>
    </w:p>
    <w:p w14:paraId="426BEF67" w14:textId="1DBE6E42"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(12) </w:t>
      </w:r>
      <w:r w:rsidR="00AC7925" w:rsidRPr="00B778A7">
        <w:rPr>
          <w:rFonts w:ascii="Arial" w:hAnsi="Arial" w:cs="Arial"/>
        </w:rPr>
        <w:t>"</w:t>
      </w:r>
      <w:r w:rsidRPr="00B778A7">
        <w:rPr>
          <w:rFonts w:ascii="Arial" w:hAnsi="Arial" w:cs="Arial"/>
        </w:rPr>
        <w:t>Political subdivision</w:t>
      </w:r>
      <w:r w:rsidR="00AC7925" w:rsidRPr="00B778A7">
        <w:rPr>
          <w:rFonts w:ascii="Arial" w:hAnsi="Arial" w:cs="Arial"/>
        </w:rPr>
        <w:t xml:space="preserve">" </w:t>
      </w:r>
      <w:r w:rsidRPr="00B778A7">
        <w:rPr>
          <w:rFonts w:ascii="Arial" w:hAnsi="Arial" w:cs="Arial"/>
        </w:rPr>
        <w:t>means any county or municipal corporation in this state;</w:t>
      </w:r>
    </w:p>
    <w:p w14:paraId="41CC2B3E" w14:textId="134F9A3E"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(13) </w:t>
      </w:r>
      <w:r w:rsidR="00AC7925" w:rsidRPr="00B778A7">
        <w:rPr>
          <w:rFonts w:ascii="Arial" w:hAnsi="Arial" w:cs="Arial"/>
        </w:rPr>
        <w:t>"</w:t>
      </w:r>
      <w:r w:rsidRPr="00B778A7">
        <w:rPr>
          <w:rFonts w:ascii="Arial" w:hAnsi="Arial" w:cs="Arial"/>
        </w:rPr>
        <w:t>Recovery fund</w:t>
      </w:r>
      <w:r w:rsidR="00AC7925" w:rsidRPr="00B778A7">
        <w:rPr>
          <w:rFonts w:ascii="Arial" w:hAnsi="Arial" w:cs="Arial"/>
        </w:rPr>
        <w:t>"</w:t>
      </w:r>
      <w:r w:rsidRPr="00B778A7">
        <w:rPr>
          <w:rFonts w:ascii="Arial" w:hAnsi="Arial" w:cs="Arial"/>
        </w:rPr>
        <w:t xml:space="preserve"> means the West Virginia Disaster Recovery Trust Fund created by this article;</w:t>
      </w:r>
    </w:p>
    <w:p w14:paraId="50A3C7C8" w14:textId="38202F8D"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(14) </w:t>
      </w:r>
      <w:r w:rsidR="00AC7925" w:rsidRPr="00B778A7">
        <w:rPr>
          <w:rFonts w:ascii="Arial" w:hAnsi="Arial" w:cs="Arial"/>
        </w:rPr>
        <w:t>"</w:t>
      </w:r>
      <w:r w:rsidRPr="00B778A7">
        <w:rPr>
          <w:rFonts w:ascii="Arial" w:hAnsi="Arial" w:cs="Arial"/>
        </w:rPr>
        <w:t>Residential housing</w:t>
      </w:r>
      <w:r w:rsidR="00AC7925" w:rsidRPr="00B778A7">
        <w:rPr>
          <w:rFonts w:ascii="Arial" w:hAnsi="Arial" w:cs="Arial"/>
        </w:rPr>
        <w:t>"</w:t>
      </w:r>
      <w:r w:rsidRPr="00B778A7">
        <w:rPr>
          <w:rFonts w:ascii="Arial" w:hAnsi="Arial" w:cs="Arial"/>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363430D4" w14:textId="7E083050"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(15) </w:t>
      </w:r>
      <w:r w:rsidR="00CA5494" w:rsidRPr="00B778A7">
        <w:rPr>
          <w:rFonts w:ascii="Arial" w:hAnsi="Arial" w:cs="Arial"/>
        </w:rPr>
        <w:t>"</w:t>
      </w:r>
      <w:r w:rsidRPr="00B778A7">
        <w:rPr>
          <w:rFonts w:ascii="Arial" w:hAnsi="Arial" w:cs="Arial"/>
        </w:rPr>
        <w:t>Secretary</w:t>
      </w:r>
      <w:r w:rsidR="00CA5494" w:rsidRPr="00B778A7">
        <w:rPr>
          <w:rFonts w:ascii="Arial" w:hAnsi="Arial" w:cs="Arial"/>
        </w:rPr>
        <w:t>"</w:t>
      </w:r>
      <w:r w:rsidRPr="00B778A7">
        <w:rPr>
          <w:rFonts w:ascii="Arial" w:hAnsi="Arial" w:cs="Arial"/>
        </w:rPr>
        <w:t xml:space="preserve"> means the Secretary of the West Virginia Department of Military Affairs and Homeland Security; and</w:t>
      </w:r>
    </w:p>
    <w:p w14:paraId="0B420172" w14:textId="7060B4C6" w:rsidR="00AD6DBE" w:rsidRPr="00B778A7" w:rsidRDefault="00AD6DBE" w:rsidP="00AD6DBE">
      <w:pPr>
        <w:spacing w:after="0" w:line="480" w:lineRule="auto"/>
        <w:ind w:firstLine="720"/>
        <w:jc w:val="both"/>
        <w:rPr>
          <w:rFonts w:ascii="Arial" w:hAnsi="Arial" w:cs="Arial"/>
        </w:rPr>
      </w:pPr>
      <w:r w:rsidRPr="00B778A7">
        <w:rPr>
          <w:rFonts w:ascii="Arial" w:hAnsi="Arial" w:cs="Arial"/>
        </w:rPr>
        <w:lastRenderedPageBreak/>
        <w:t>(16) "State of emergency" means the duly proclaimed existence of conditions of disaster or other serious threat to the health or safety of persons and property within West Virginia, or a specific geographic area thereof, including</w:t>
      </w:r>
      <w:r w:rsidR="00CA5494" w:rsidRPr="00B778A7">
        <w:rPr>
          <w:rFonts w:ascii="Arial" w:hAnsi="Arial" w:cs="Arial"/>
        </w:rPr>
        <w:t>,</w:t>
      </w:r>
      <w:r w:rsidRPr="00B778A7">
        <w:rPr>
          <w:rFonts w:ascii="Arial" w:hAnsi="Arial" w:cs="Arial"/>
        </w:rPr>
        <w:t xml:space="preserve"> but not limited to</w:t>
      </w:r>
      <w:r w:rsidR="00CA5494" w:rsidRPr="00B778A7">
        <w:rPr>
          <w:rFonts w:ascii="Arial" w:hAnsi="Arial" w:cs="Arial"/>
        </w:rPr>
        <w:t>,</w:t>
      </w:r>
      <w:r w:rsidRPr="00B778A7">
        <w:rPr>
          <w:rFonts w:ascii="Arial" w:hAnsi="Arial" w:cs="Arial"/>
        </w:rPr>
        <w:t xml:space="preserve"> an attack upon the state or the United States, a natural or man-made disaster of major proportions, a pandemic, or other large-scale threat beyond the capacity of local control;</w:t>
      </w:r>
    </w:p>
    <w:p w14:paraId="7E3E3060"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(17) "State of preparedness" means the duly proclaimed authorization for:</w:t>
      </w:r>
    </w:p>
    <w:p w14:paraId="32D2DB65"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(A) Specialized planning and preparation activities intended to minimize the anticipated effect of conditions constituting a state of emergency, as defined in this section, which, in the judgment of the Governor, are expected to commence within the next 30 days, or within a period of longer than 30 days if necessary to obtain funding or maintain compliance with federal or interjurisdictional requirements: </w:t>
      </w:r>
      <w:r w:rsidRPr="00B778A7">
        <w:rPr>
          <w:rFonts w:ascii="Arial" w:hAnsi="Arial" w:cs="Arial"/>
          <w:i/>
          <w:iCs/>
        </w:rPr>
        <w:t xml:space="preserve">Provided, </w:t>
      </w:r>
      <w:r w:rsidRPr="00B778A7">
        <w:rPr>
          <w:rFonts w:ascii="Arial" w:hAnsi="Arial" w:cs="Arial"/>
        </w:rPr>
        <w:t xml:space="preserve">That a state of preparedness which is duly proclaimed under such circumstances shall be referred to as a "Class I state of preparedness"; or </w:t>
      </w:r>
    </w:p>
    <w:p w14:paraId="5E3789BB"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(B) Specialized planning and preparation activities intended to minimize, by use of any available and appropriate federal or state governmental resources, the anticipated impact of or anticipated threats caused by a planned or anticipated event of such large size or scope that it is beyond the capacity of local control, and which is scheduled to commence within the next 30 days, or within a period of time longer than 30 days if necessary to obtain funding or maintain compliance with federal or interjurisdictional requirements: </w:t>
      </w:r>
      <w:r w:rsidRPr="00B778A7">
        <w:rPr>
          <w:rFonts w:ascii="Arial" w:hAnsi="Arial" w:cs="Arial"/>
          <w:i/>
          <w:iCs/>
        </w:rPr>
        <w:t xml:space="preserve">Provided, </w:t>
      </w:r>
      <w:r w:rsidRPr="00B778A7">
        <w:rPr>
          <w:rFonts w:ascii="Arial" w:hAnsi="Arial" w:cs="Arial"/>
        </w:rPr>
        <w:t>That a state of preparedness which is duly proclaimed under such circumstances shall be referred to as a "Class II state of preparedness"; and</w:t>
      </w:r>
    </w:p>
    <w:p w14:paraId="13ABB52F" w14:textId="77777777" w:rsidR="00AD6DBE" w:rsidRPr="00B778A7" w:rsidRDefault="00AD6DBE" w:rsidP="00AD6DBE">
      <w:pPr>
        <w:spacing w:after="0" w:line="480" w:lineRule="auto"/>
        <w:ind w:firstLine="720"/>
        <w:jc w:val="both"/>
        <w:rPr>
          <w:rFonts w:ascii="Arial" w:hAnsi="Arial" w:cs="Arial"/>
        </w:rPr>
        <w:sectPr w:rsidR="00AD6DBE" w:rsidRPr="00B778A7" w:rsidSect="0081094B">
          <w:footerReference w:type="default" r:id="rId13"/>
          <w:type w:val="continuous"/>
          <w:pgSz w:w="12240" w:h="15840"/>
          <w:pgMar w:top="1440" w:right="1440" w:bottom="1440" w:left="1440" w:header="720" w:footer="720" w:gutter="0"/>
          <w:lnNumType w:countBy="1" w:restart="newSection"/>
          <w:cols w:space="720"/>
          <w:docGrid w:linePitch="360"/>
        </w:sectPr>
      </w:pPr>
      <w:r w:rsidRPr="00B778A7">
        <w:rPr>
          <w:rFonts w:ascii="Arial" w:hAnsi="Arial" w:cs="Arial"/>
        </w:rPr>
        <w:t>(18) “Temporary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3D529548" w14:textId="1B3274C3" w:rsidR="00AD6DBE" w:rsidRPr="00B778A7" w:rsidRDefault="00AD6DBE" w:rsidP="00AD6DBE">
      <w:pPr>
        <w:spacing w:after="0" w:line="480" w:lineRule="auto"/>
        <w:jc w:val="both"/>
        <w:rPr>
          <w:rFonts w:ascii="Arial" w:hAnsi="Arial" w:cs="Arial"/>
          <w:b/>
        </w:rPr>
        <w:sectPr w:rsidR="00AD6DBE" w:rsidRPr="00B778A7" w:rsidSect="00DD54A3">
          <w:footerReference w:type="default" r:id="rId14"/>
          <w:type w:val="continuous"/>
          <w:pgSz w:w="12240" w:h="15840"/>
          <w:pgMar w:top="1440" w:right="1440" w:bottom="1440" w:left="1440" w:header="720" w:footer="720" w:gutter="0"/>
          <w:cols w:space="720"/>
          <w:docGrid w:linePitch="360"/>
        </w:sectPr>
      </w:pPr>
      <w:r w:rsidRPr="00B778A7">
        <w:rPr>
          <w:rFonts w:ascii="Arial" w:hAnsi="Arial" w:cs="Arial"/>
          <w:b/>
        </w:rPr>
        <w:lastRenderedPageBreak/>
        <w:t>§15-5-6. Proclamation of a state of emergency or state of preparedness by the Governor or the Legislature; additional powers of the Governor during a state of emergency or state of preparedness.</w:t>
      </w:r>
    </w:p>
    <w:p w14:paraId="63543157"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(a) The provisions of this section, and any executive order issued pursuant to the provisions of this section, are operative only during the existence of a state of emergency or state of preparedness: </w:t>
      </w:r>
      <w:r w:rsidRPr="00B778A7">
        <w:rPr>
          <w:rFonts w:ascii="Arial" w:hAnsi="Arial" w:cs="Arial"/>
          <w:i/>
          <w:iCs/>
        </w:rPr>
        <w:t xml:space="preserve">Provided, </w:t>
      </w:r>
      <w:r w:rsidRPr="00B778A7">
        <w:rPr>
          <w:rFonts w:ascii="Arial" w:hAnsi="Arial" w:cs="Arial"/>
        </w:rPr>
        <w:t>That</w:t>
      </w:r>
      <w:bookmarkStart w:id="0" w:name="_Hlk47948097"/>
      <w:r w:rsidRPr="00B778A7">
        <w:rPr>
          <w:rFonts w:ascii="Arial" w:hAnsi="Arial" w:cs="Arial"/>
        </w:rPr>
        <w:t xml:space="preserve"> nothing in this section or in any executive order issued hereunder may be construed to suspend or supersede any provision of the United States Constitution or West Virginia Constitution.</w:t>
      </w:r>
      <w:bookmarkEnd w:id="0"/>
    </w:p>
    <w:p w14:paraId="2FF5B444"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 as defined in this article, exist, and that the health, safety, and welfare of the inhabitants of this state require an invocation of the provisions of this section: </w:t>
      </w:r>
      <w:r w:rsidRPr="00B778A7">
        <w:rPr>
          <w:rFonts w:ascii="Arial" w:hAnsi="Arial" w:cs="Arial"/>
          <w:i/>
          <w:iCs/>
        </w:rPr>
        <w:t>Provided</w:t>
      </w:r>
      <w:r w:rsidRPr="00B778A7">
        <w:rPr>
          <w:rFonts w:ascii="Arial" w:hAnsi="Arial" w:cs="Arial"/>
        </w:rPr>
        <w:t>, That a gubernatorially proclaimed state of emergency expires 60 days after issuance of the executive order unless, prior to the 60th day, the Legislature adopts a concurrent resolution extending the state of emergency beyond 60 days. A concurrent resolution adopted by the Legislature to extend a state of emergency proclaimed by the governor shall set forth within its terms the length of time for which the state of emergency shall be extended. A state of emergency, whether proclaimed by the Governor or by the Legislature, terminates upon the issuance of a proclamation of termination by the Governor, or the passage by the Legislature of a concurrent resolution terminating the state of emergency.</w:t>
      </w:r>
    </w:p>
    <w:p w14:paraId="0011707F"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 as defined in this article, exist, and that the health, safety, and welfare of the inhabitants of this state require the invocation of the provisions of this section: </w:t>
      </w:r>
      <w:r w:rsidRPr="00B778A7">
        <w:rPr>
          <w:rFonts w:ascii="Arial" w:hAnsi="Arial" w:cs="Arial"/>
          <w:i/>
          <w:iCs/>
        </w:rPr>
        <w:t>Provided</w:t>
      </w:r>
      <w:r w:rsidRPr="00B778A7">
        <w:rPr>
          <w:rFonts w:ascii="Arial" w:hAnsi="Arial" w:cs="Arial"/>
        </w:rPr>
        <w:t xml:space="preserve">, That the </w:t>
      </w:r>
      <w:r w:rsidRPr="00B778A7">
        <w:rPr>
          <w:rFonts w:ascii="Arial" w:hAnsi="Arial" w:cs="Arial"/>
        </w:rPr>
        <w:lastRenderedPageBreak/>
        <w:t xml:space="preserve">Governor or the Legislature shall proclaim a state of preparedness as a "Class I state of preparedness" or a "Class II state of preparedness", as defined in this article, by law: </w:t>
      </w:r>
      <w:r w:rsidRPr="00B778A7">
        <w:rPr>
          <w:rFonts w:ascii="Arial" w:hAnsi="Arial" w:cs="Arial"/>
          <w:i/>
          <w:iCs/>
        </w:rPr>
        <w:t>Provided however</w:t>
      </w:r>
      <w:r w:rsidRPr="00B778A7">
        <w:rPr>
          <w:rFonts w:ascii="Arial" w:hAnsi="Arial" w:cs="Arial"/>
        </w:rPr>
        <w:t xml:space="preserve">, That a gubernatorially proclaimed Class I state of preparedness expires 30 days after issuance of the executive order unless, prior to the 30th day, the Legislature adopts a concurrent resolution extending the state of preparedness beyond 30 days. A concurrent resolution adopted by the Legislature to extend a Class I state of preparedness proclaimed by the governor shall set forth within its terms the length of time for which the state of preparedness shall be extended. A Class II state of preparedness, whether proclaimed by the Governor of by the Legislature, terminates upon the issuance of a proclamation of termination by the Governor, or the passage by the Legislature of a concurrent resolution terminating the Class II state of preparedness. </w:t>
      </w:r>
    </w:p>
    <w:p w14:paraId="381558CE"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(d) When a state of emergency follows a state of preparedness involving the same or substantially similar circumstances, the total time allotted for the duration of the two combined shall be no more than 90 days, unless the Governor follows the requirements for extending the state of emergency under subsection (b) of this section.</w:t>
      </w:r>
    </w:p>
    <w:p w14:paraId="25FCB82C"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(e) Any proclamation or concurrent resolution issued under this section shall include, in general terms:</w:t>
      </w:r>
    </w:p>
    <w:p w14:paraId="6B322F39"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 A description of the facts and circumstances warranting the proclamation or concurrent resolution; and</w:t>
      </w:r>
    </w:p>
    <w:p w14:paraId="7F4A833B"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(2) A designation of the geographic area threatened.</w:t>
      </w:r>
    </w:p>
    <w:p w14:paraId="6899736E"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(f) Any proclamation or resolution shall be disseminated as soon as practicable to the news media and any other means which are calculated to bring its contents to the attention of the general public: </w:t>
      </w:r>
      <w:r w:rsidRPr="00B778A7">
        <w:rPr>
          <w:rFonts w:ascii="Arial" w:hAnsi="Arial" w:cs="Arial"/>
          <w:i/>
        </w:rPr>
        <w:t>Provided</w:t>
      </w:r>
      <w:r w:rsidRPr="00B778A7">
        <w:rPr>
          <w:rFonts w:ascii="Arial" w:hAnsi="Arial" w:cs="Arial"/>
          <w:iCs/>
        </w:rPr>
        <w:t>,</w:t>
      </w:r>
      <w:r w:rsidRPr="00B778A7">
        <w:rPr>
          <w:rFonts w:ascii="Arial" w:hAnsi="Arial" w:cs="Arial"/>
        </w:rPr>
        <w:t xml:space="preserve"> That for a gubernatorial proclamation of a state of emergency or state of preparedness, the Governor shall provide a copy of the executive order to the President of the Senate, the Speaker of the House of Delegates, and the Joint Committee on Government and Finance.</w:t>
      </w:r>
    </w:p>
    <w:p w14:paraId="61EE2CAF"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lastRenderedPageBreak/>
        <w:t xml:space="preserve">(g)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09351ABB"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 To enforce all laws and rules relating to the provision of emergency services and to assume direct operational control of any or all emergency service entities and personnel in the state;</w:t>
      </w:r>
    </w:p>
    <w:p w14:paraId="554F33A7"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property;</w:t>
      </w:r>
    </w:p>
    <w:p w14:paraId="5A7D5E97"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(3) To procure materials and facilities for emergency services by purchase, condemnation under the provisions of §54-1-1 </w:t>
      </w:r>
      <w:r w:rsidRPr="00B778A7">
        <w:rPr>
          <w:rFonts w:ascii="Arial" w:hAnsi="Arial" w:cs="Arial"/>
          <w:i/>
          <w:iCs/>
        </w:rPr>
        <w:t xml:space="preserve">et seq. </w:t>
      </w:r>
      <w:r w:rsidRPr="00B778A7">
        <w:rPr>
          <w:rFonts w:ascii="Arial" w:hAnsi="Arial" w:cs="Arial"/>
        </w:rPr>
        <w:t xml:space="preserve">of this code,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B778A7">
        <w:rPr>
          <w:rFonts w:ascii="Arial" w:hAnsi="Arial" w:cs="Arial"/>
          <w:i/>
          <w:iCs/>
        </w:rPr>
        <w:t xml:space="preserve">et seq. </w:t>
      </w:r>
      <w:r w:rsidRPr="00B778A7">
        <w:rPr>
          <w:rFonts w:ascii="Arial" w:hAnsi="Arial" w:cs="Arial"/>
        </w:rPr>
        <w:t>of this code;</w:t>
      </w:r>
    </w:p>
    <w:p w14:paraId="16A2A74B"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(4) To obtain the services of necessary personnel required during the emergency or in preparation for the emergency, and to compensate such personnel for their services from the Governor’s Contingent Fund or other funds available to him or her;</w:t>
      </w:r>
    </w:p>
    <w:p w14:paraId="78F892F4"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(5) To provide and compel the evacuation of all or part of the population from any stricken or threatened area within the state and to take steps that are necessary for the receipt and care of the evacuees;</w:t>
      </w:r>
    </w:p>
    <w:p w14:paraId="732A8902"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(6) To control ingress and egress into or out of a disaster area or other area subject to a state of emergency or state of preparedness, as well as the movement of persons and occupancy of premises within the area;</w:t>
      </w:r>
    </w:p>
    <w:p w14:paraId="41D700FF"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lastRenderedPageBreak/>
        <w:t xml:space="preserve">(7) To suspend the provisions of any statute prescribing the procedures for the conduct of state business or the orders, or rules of any state agency, if strict compliance therewith would in any way prevent, hinder, or delay necessary action in coping with the emergency: </w:t>
      </w:r>
      <w:r w:rsidRPr="00B778A7">
        <w:rPr>
          <w:rFonts w:ascii="Arial" w:hAnsi="Arial" w:cs="Arial"/>
          <w:i/>
          <w:iCs/>
        </w:rPr>
        <w:t xml:space="preserve">Provided, </w:t>
      </w:r>
      <w:r w:rsidRPr="00B778A7">
        <w:rPr>
          <w:rFonts w:ascii="Arial" w:hAnsi="Arial" w:cs="Arial"/>
        </w:rPr>
        <w:t>That nothing in this subdivision may be construed as granting the Governor the power to suspend any provision of this section;</w:t>
      </w:r>
    </w:p>
    <w:p w14:paraId="704E066F"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(8) To use available resources of the state and of its political subdivisions that are reasonably necessary to cope with the emergency or to prepare for the emergency;</w:t>
      </w:r>
    </w:p>
    <w:p w14:paraId="7C59BB52"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 xml:space="preserve">(9) To suspend or limit the sale, dispensing, or transportation of alcoholic beverages, explosives, and combustibles: </w:t>
      </w:r>
      <w:r w:rsidRPr="00B778A7">
        <w:rPr>
          <w:rFonts w:ascii="Arial" w:hAnsi="Arial" w:cs="Arial"/>
          <w:i/>
          <w:iCs/>
        </w:rPr>
        <w:t>Provided</w:t>
      </w:r>
      <w:r w:rsidRPr="00B778A7">
        <w:rPr>
          <w:rFonts w:ascii="Arial" w:hAnsi="Arial" w:cs="Arial"/>
        </w:rPr>
        <w:t xml:space="preserve">, That explosives and combustibles do not include firearms, ammunition, components of ammunition, or ammunition-reloading equipment and supplies; </w:t>
      </w:r>
    </w:p>
    <w:p w14:paraId="19742151"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(10) To make provision for the availability and use of temporary emergency housing; and</w:t>
      </w:r>
    </w:p>
    <w:p w14:paraId="172EE2E4"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(11) To perform and exercise other functions, powers and duties that are necessary to promote and secure the safety and protection of the civilian population.</w:t>
      </w:r>
    </w:p>
    <w:p w14:paraId="7CC2FCB9"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(h) The declaration of a state of preparedness has the same effect as a declaration of a state of emergency for the purposes of the Emergency Management Assistance Compact established in §15-5-22 of this code, and the Statewide Mutual Aid System set forth in §15-5-28 of this code.</w:t>
      </w:r>
    </w:p>
    <w:p w14:paraId="5F663260"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(i) The powers granted under this section do not authorize any action that would violate the prohibitions of §15-5-19a of this code.</w:t>
      </w:r>
    </w:p>
    <w:p w14:paraId="6EA77FBD"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(j) During any state of preparedness or state of emergency proclaimed at any time, an executive order of the Governor may not:</w:t>
      </w:r>
    </w:p>
    <w:p w14:paraId="2ADC60F6"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(1) Close churches or other houses of worship or prevent their operation in any manner that is more restrictive than the least restrictive provisions in place for the operation of the most essential facilities of government or private enterprise.</w:t>
      </w:r>
    </w:p>
    <w:p w14:paraId="63807509"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lastRenderedPageBreak/>
        <w:t>(2) Suspend or limit the lawful sale, lawful transfer, or lawful transportation of firearms, ammunition, components of ammunition, or ammunition-reloading equipment and supplies; or</w:t>
      </w:r>
    </w:p>
    <w:p w14:paraId="5216D8E6"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(3) Except as authorized by the provisions of this article, interfere with, or impair the operation of the news media.</w:t>
      </w:r>
    </w:p>
    <w:p w14:paraId="518BC858" w14:textId="77777777" w:rsidR="00AD6DBE" w:rsidRPr="00B778A7" w:rsidRDefault="00AD6DBE" w:rsidP="00AD6DBE">
      <w:pPr>
        <w:spacing w:after="0" w:line="480" w:lineRule="auto"/>
        <w:ind w:firstLine="720"/>
        <w:jc w:val="both"/>
        <w:rPr>
          <w:rFonts w:ascii="Arial" w:hAnsi="Arial" w:cs="Arial"/>
        </w:rPr>
      </w:pPr>
      <w:r w:rsidRPr="00B778A7">
        <w:rPr>
          <w:rFonts w:ascii="Arial" w:hAnsi="Arial" w:cs="Arial"/>
        </w:rPr>
        <w:t>(k) Unless expressly authorized by an executive order of the Governor, a municipal, county, or state health officer, under color of a duly proclaimed state of emergency or state of preparedness, shall not take any enforcement action which is not authorized by statute.</w:t>
      </w:r>
    </w:p>
    <w:p w14:paraId="7A91BB2C" w14:textId="77777777" w:rsidR="00AD6DBE" w:rsidRPr="00B778A7" w:rsidRDefault="00AD6DBE" w:rsidP="00AD6DBE">
      <w:pPr>
        <w:spacing w:after="0" w:line="480" w:lineRule="auto"/>
        <w:ind w:firstLine="720"/>
        <w:jc w:val="both"/>
        <w:rPr>
          <w:rFonts w:ascii="Arial" w:hAnsi="Arial" w:cs="Arial"/>
        </w:rPr>
        <w:sectPr w:rsidR="00AD6DBE" w:rsidRPr="00B778A7" w:rsidSect="0081094B">
          <w:footerReference w:type="default" r:id="rId15"/>
          <w:type w:val="continuous"/>
          <w:pgSz w:w="12240" w:h="15840"/>
          <w:pgMar w:top="1440" w:right="1440" w:bottom="1440" w:left="1440" w:header="720" w:footer="720" w:gutter="0"/>
          <w:lnNumType w:countBy="1" w:restart="newSection"/>
          <w:cols w:space="720"/>
          <w:docGrid w:linePitch="360"/>
        </w:sectPr>
      </w:pPr>
      <w:r w:rsidRPr="00B778A7">
        <w:rPr>
          <w:rFonts w:ascii="Arial" w:hAnsi="Arial" w:cs="Arial"/>
        </w:rPr>
        <w:t xml:space="preserve">(l) Any suit filed challenging an executive order issued relating to a state of preparedness or 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 </w:t>
      </w:r>
    </w:p>
    <w:p w14:paraId="43C673B5" w14:textId="77777777" w:rsidR="00AD6DBE" w:rsidRPr="00B778A7" w:rsidRDefault="00AD6DBE" w:rsidP="00AD6DBE">
      <w:pPr>
        <w:spacing w:after="0" w:line="480" w:lineRule="auto"/>
        <w:jc w:val="both"/>
        <w:rPr>
          <w:rFonts w:ascii="Arial" w:hAnsi="Arial" w:cs="Arial"/>
        </w:rPr>
      </w:pPr>
    </w:p>
    <w:p w14:paraId="2F51AFCF" w14:textId="1E099AD6" w:rsidR="00AD6DBE" w:rsidRPr="00B778A7" w:rsidRDefault="00AD6DBE" w:rsidP="00AD6DBE">
      <w:pPr>
        <w:spacing w:after="0" w:line="480" w:lineRule="auto"/>
        <w:jc w:val="both"/>
        <w:rPr>
          <w:rFonts w:ascii="Arial" w:hAnsi="Arial" w:cs="Arial"/>
        </w:rPr>
      </w:pPr>
    </w:p>
    <w:p w14:paraId="099545B8" w14:textId="5AE91154" w:rsidR="00BD0B43" w:rsidRPr="00B778A7" w:rsidRDefault="00BD0B43" w:rsidP="00AD6DBE">
      <w:pPr>
        <w:spacing w:after="0" w:line="480" w:lineRule="auto"/>
        <w:jc w:val="both"/>
      </w:pPr>
    </w:p>
    <w:sectPr w:rsidR="00BD0B43" w:rsidRPr="00B778A7" w:rsidSect="009923D1">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10FB" w14:textId="77777777" w:rsidR="00FB120C" w:rsidRPr="00B844FE" w:rsidRDefault="00FB120C" w:rsidP="00B844FE">
      <w:r>
        <w:separator/>
      </w:r>
    </w:p>
  </w:endnote>
  <w:endnote w:type="continuationSeparator" w:id="0">
    <w:p w14:paraId="61C18A09" w14:textId="77777777" w:rsidR="00FB120C" w:rsidRPr="00B844FE" w:rsidRDefault="00FB12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3A2A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7700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D3B5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8C9A" w14:textId="77777777" w:rsidR="00AD6DBE" w:rsidRDefault="00AD6DBE" w:rsidP="009565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67DC4B" w14:textId="77777777" w:rsidR="00AD6DBE" w:rsidRDefault="00AD6D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8BAE" w14:textId="77777777" w:rsidR="00AD6DBE" w:rsidRDefault="00AD6DBE" w:rsidP="009565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25969C" w14:textId="77777777" w:rsidR="00AD6DBE" w:rsidRDefault="00AD6D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CDD9" w14:textId="77777777" w:rsidR="00AD6DBE" w:rsidRDefault="00AD6DBE" w:rsidP="009565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A1DCEB" w14:textId="77777777" w:rsidR="00AD6DBE" w:rsidRDefault="00AD6D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384C" w14:textId="77777777" w:rsidR="00A80642" w:rsidRDefault="003F05EA" w:rsidP="009565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B274C7" w14:textId="77777777" w:rsidR="00A80642" w:rsidRDefault="00335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28D9" w14:textId="77777777" w:rsidR="00FB120C" w:rsidRPr="00B844FE" w:rsidRDefault="00FB120C" w:rsidP="00B844FE">
      <w:r>
        <w:separator/>
      </w:r>
    </w:p>
  </w:footnote>
  <w:footnote w:type="continuationSeparator" w:id="0">
    <w:p w14:paraId="011A00BF" w14:textId="77777777" w:rsidR="00FB120C" w:rsidRPr="00B844FE" w:rsidRDefault="00FB12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B4EE" w14:textId="00EA1B8D" w:rsidR="002A0269" w:rsidRPr="00B844FE" w:rsidRDefault="00335319">
    <w:pPr>
      <w:pStyle w:val="Header"/>
    </w:pPr>
    <w:sdt>
      <w:sdtPr>
        <w:id w:val="-684364211"/>
        <w:placeholder>
          <w:docPart w:val="337CA8AADD024207BBAA0DA199A56B0B"/>
        </w:placeholder>
        <w:temporary/>
        <w:showingPlcHdr/>
        <w15:appearance w15:val="hidden"/>
      </w:sdtPr>
      <w:sdtEndPr/>
      <w:sdtContent>
        <w:r w:rsidR="007C4E67" w:rsidRPr="00B844FE">
          <w:t>[Type here]</w:t>
        </w:r>
      </w:sdtContent>
    </w:sdt>
    <w:r w:rsidR="002A0269" w:rsidRPr="00B844FE">
      <w:ptab w:relativeTo="margin" w:alignment="left" w:leader="none"/>
    </w:r>
    <w:sdt>
      <w:sdtPr>
        <w:id w:val="-556240388"/>
        <w:placeholder>
          <w:docPart w:val="337CA8AADD024207BBAA0DA199A56B0B"/>
        </w:placeholder>
        <w:temporary/>
        <w:showingPlcHdr/>
        <w15:appearance w15:val="hidden"/>
      </w:sdtPr>
      <w:sdtEndPr/>
      <w:sdtContent>
        <w:r w:rsidR="007C4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EE4E" w14:textId="34D6ED3A" w:rsidR="00C33014" w:rsidRPr="00492AB2" w:rsidRDefault="00B12DA4" w:rsidP="000573A9">
    <w:pPr>
      <w:pStyle w:val="HeaderStyle"/>
    </w:pPr>
    <w:r>
      <w:t>Enr</w:t>
    </w:r>
    <w:r w:rsidR="009D6621">
      <w:t xml:space="preserve"> SB</w:t>
    </w:r>
    <w:r w:rsidR="00506C2A">
      <w:t xml:space="preserve"> 128</w:t>
    </w:r>
    <w:r w:rsidR="009D6621">
      <w:tab/>
    </w:r>
    <w:r w:rsidR="009D6621">
      <w:tab/>
    </w:r>
  </w:p>
  <w:p w14:paraId="1A810A5E" w14:textId="77777777" w:rsidR="00E831B3" w:rsidRPr="00492AB2"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1A5" w14:textId="0FB73171" w:rsidR="002A0269" w:rsidRPr="002A0269" w:rsidRDefault="0033531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placeholder>
          <w:docPart w:val="57DB366599374C41A18D1EFBACDF72C8"/>
        </w:placeholder>
        <w:showingPlcHdr/>
        <w:text/>
      </w:sdtPr>
      <w:sdtEndPr/>
      <w:sdtContent>
        <w:r w:rsidR="00FE7A87">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4162A"/>
    <w:multiLevelType w:val="hybridMultilevel"/>
    <w:tmpl w:val="421EDE12"/>
    <w:lvl w:ilvl="0" w:tplc="395E2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29779">
    <w:abstractNumId w:val="1"/>
  </w:num>
  <w:num w:numId="2" w16cid:durableId="147064655">
    <w:abstractNumId w:val="1"/>
  </w:num>
  <w:num w:numId="3" w16cid:durableId="164819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43"/>
    <w:rsid w:val="0000526A"/>
    <w:rsid w:val="000573A9"/>
    <w:rsid w:val="00065571"/>
    <w:rsid w:val="00085D22"/>
    <w:rsid w:val="000A1B51"/>
    <w:rsid w:val="000A7CFF"/>
    <w:rsid w:val="000C5C77"/>
    <w:rsid w:val="000E3912"/>
    <w:rsid w:val="0010070F"/>
    <w:rsid w:val="001046BF"/>
    <w:rsid w:val="001143CA"/>
    <w:rsid w:val="001326BB"/>
    <w:rsid w:val="00137C94"/>
    <w:rsid w:val="0015112E"/>
    <w:rsid w:val="001552E7"/>
    <w:rsid w:val="001566B4"/>
    <w:rsid w:val="001A66B7"/>
    <w:rsid w:val="001C279E"/>
    <w:rsid w:val="001D459E"/>
    <w:rsid w:val="002127F0"/>
    <w:rsid w:val="00216B96"/>
    <w:rsid w:val="00232624"/>
    <w:rsid w:val="00237C43"/>
    <w:rsid w:val="00241C9F"/>
    <w:rsid w:val="0027011C"/>
    <w:rsid w:val="00274200"/>
    <w:rsid w:val="00275740"/>
    <w:rsid w:val="002A0269"/>
    <w:rsid w:val="002C09A3"/>
    <w:rsid w:val="002C543A"/>
    <w:rsid w:val="002F3955"/>
    <w:rsid w:val="00303684"/>
    <w:rsid w:val="003143F5"/>
    <w:rsid w:val="00314854"/>
    <w:rsid w:val="00335319"/>
    <w:rsid w:val="00357E72"/>
    <w:rsid w:val="00392F9E"/>
    <w:rsid w:val="00394191"/>
    <w:rsid w:val="003B4F00"/>
    <w:rsid w:val="003C51CD"/>
    <w:rsid w:val="003F05EA"/>
    <w:rsid w:val="0041238B"/>
    <w:rsid w:val="004368E0"/>
    <w:rsid w:val="004508A7"/>
    <w:rsid w:val="00452490"/>
    <w:rsid w:val="004619A0"/>
    <w:rsid w:val="00466208"/>
    <w:rsid w:val="00492AB2"/>
    <w:rsid w:val="004C13DD"/>
    <w:rsid w:val="004C7262"/>
    <w:rsid w:val="004E3441"/>
    <w:rsid w:val="004E5243"/>
    <w:rsid w:val="00500579"/>
    <w:rsid w:val="00506C2A"/>
    <w:rsid w:val="005155E8"/>
    <w:rsid w:val="0052456D"/>
    <w:rsid w:val="00542B47"/>
    <w:rsid w:val="00544B6C"/>
    <w:rsid w:val="0056708D"/>
    <w:rsid w:val="00575F35"/>
    <w:rsid w:val="00582932"/>
    <w:rsid w:val="005A5366"/>
    <w:rsid w:val="005D7E17"/>
    <w:rsid w:val="005E0F04"/>
    <w:rsid w:val="005E6AC4"/>
    <w:rsid w:val="006210B7"/>
    <w:rsid w:val="00627399"/>
    <w:rsid w:val="00631076"/>
    <w:rsid w:val="006369EB"/>
    <w:rsid w:val="00637E73"/>
    <w:rsid w:val="006434AC"/>
    <w:rsid w:val="0065138D"/>
    <w:rsid w:val="0065319E"/>
    <w:rsid w:val="00661B72"/>
    <w:rsid w:val="006865E9"/>
    <w:rsid w:val="00691F3E"/>
    <w:rsid w:val="00693A3A"/>
    <w:rsid w:val="00694BFB"/>
    <w:rsid w:val="006A106B"/>
    <w:rsid w:val="006B439A"/>
    <w:rsid w:val="006C523D"/>
    <w:rsid w:val="006D4036"/>
    <w:rsid w:val="006F371C"/>
    <w:rsid w:val="00702AFC"/>
    <w:rsid w:val="00703A9C"/>
    <w:rsid w:val="00717FA1"/>
    <w:rsid w:val="00727FC7"/>
    <w:rsid w:val="0074315A"/>
    <w:rsid w:val="0074493A"/>
    <w:rsid w:val="00782501"/>
    <w:rsid w:val="007A5259"/>
    <w:rsid w:val="007A7081"/>
    <w:rsid w:val="007C4E67"/>
    <w:rsid w:val="007F1CF5"/>
    <w:rsid w:val="007F29DD"/>
    <w:rsid w:val="0081360E"/>
    <w:rsid w:val="00820A6B"/>
    <w:rsid w:val="00834EDE"/>
    <w:rsid w:val="00842DC9"/>
    <w:rsid w:val="00853131"/>
    <w:rsid w:val="00853F27"/>
    <w:rsid w:val="008736AA"/>
    <w:rsid w:val="008A681B"/>
    <w:rsid w:val="008D275D"/>
    <w:rsid w:val="009570E3"/>
    <w:rsid w:val="0097475E"/>
    <w:rsid w:val="00980327"/>
    <w:rsid w:val="00986478"/>
    <w:rsid w:val="009A4773"/>
    <w:rsid w:val="009B5557"/>
    <w:rsid w:val="009D6621"/>
    <w:rsid w:val="009F1067"/>
    <w:rsid w:val="00A02D40"/>
    <w:rsid w:val="00A22D32"/>
    <w:rsid w:val="00A31E01"/>
    <w:rsid w:val="00A4491F"/>
    <w:rsid w:val="00A527AD"/>
    <w:rsid w:val="00A57265"/>
    <w:rsid w:val="00A64B1A"/>
    <w:rsid w:val="00A718CF"/>
    <w:rsid w:val="00AC7925"/>
    <w:rsid w:val="00AD6DBE"/>
    <w:rsid w:val="00AE2CA5"/>
    <w:rsid w:val="00AE48A0"/>
    <w:rsid w:val="00AE61BE"/>
    <w:rsid w:val="00B043EB"/>
    <w:rsid w:val="00B12DA4"/>
    <w:rsid w:val="00B16F25"/>
    <w:rsid w:val="00B24422"/>
    <w:rsid w:val="00B66B81"/>
    <w:rsid w:val="00B778A7"/>
    <w:rsid w:val="00B80C20"/>
    <w:rsid w:val="00B814C0"/>
    <w:rsid w:val="00B844FE"/>
    <w:rsid w:val="00B86B4F"/>
    <w:rsid w:val="00B86EC2"/>
    <w:rsid w:val="00BA1F84"/>
    <w:rsid w:val="00BB3C6F"/>
    <w:rsid w:val="00BC562B"/>
    <w:rsid w:val="00BD0B43"/>
    <w:rsid w:val="00BD4A63"/>
    <w:rsid w:val="00BD5B87"/>
    <w:rsid w:val="00BF2788"/>
    <w:rsid w:val="00C33014"/>
    <w:rsid w:val="00C33434"/>
    <w:rsid w:val="00C34869"/>
    <w:rsid w:val="00C37EF1"/>
    <w:rsid w:val="00C42EB6"/>
    <w:rsid w:val="00C638E9"/>
    <w:rsid w:val="00C85096"/>
    <w:rsid w:val="00CA5494"/>
    <w:rsid w:val="00CB20EF"/>
    <w:rsid w:val="00CC1F3B"/>
    <w:rsid w:val="00CC2DED"/>
    <w:rsid w:val="00CD027B"/>
    <w:rsid w:val="00CD12CB"/>
    <w:rsid w:val="00CD36CF"/>
    <w:rsid w:val="00CD79E0"/>
    <w:rsid w:val="00CD7CA8"/>
    <w:rsid w:val="00CF1DCA"/>
    <w:rsid w:val="00D05C52"/>
    <w:rsid w:val="00D27222"/>
    <w:rsid w:val="00D579FC"/>
    <w:rsid w:val="00D60878"/>
    <w:rsid w:val="00D757CC"/>
    <w:rsid w:val="00D81C16"/>
    <w:rsid w:val="00D93B62"/>
    <w:rsid w:val="00DB3356"/>
    <w:rsid w:val="00DD54A3"/>
    <w:rsid w:val="00DE526B"/>
    <w:rsid w:val="00DF199D"/>
    <w:rsid w:val="00DF1B02"/>
    <w:rsid w:val="00E01542"/>
    <w:rsid w:val="00E365F1"/>
    <w:rsid w:val="00E62F48"/>
    <w:rsid w:val="00E64CBF"/>
    <w:rsid w:val="00E831B3"/>
    <w:rsid w:val="00E95FBC"/>
    <w:rsid w:val="00EE70CB"/>
    <w:rsid w:val="00F41CA2"/>
    <w:rsid w:val="00F443C0"/>
    <w:rsid w:val="00F62EFB"/>
    <w:rsid w:val="00F939A4"/>
    <w:rsid w:val="00FA7B09"/>
    <w:rsid w:val="00FB120C"/>
    <w:rsid w:val="00FD4B09"/>
    <w:rsid w:val="00FD5B51"/>
    <w:rsid w:val="00FE067E"/>
    <w:rsid w:val="00FE208F"/>
    <w:rsid w:val="00FE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605E"/>
  <w15:chartTrackingRefBased/>
  <w15:docId w15:val="{9EA1D589-04E2-49FE-8551-A589473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F05E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BD0B4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locked/>
    <w:rsid w:val="00BD0B43"/>
  </w:style>
  <w:style w:type="character" w:styleId="CommentReference">
    <w:name w:val="annotation reference"/>
    <w:basedOn w:val="DefaultParagraphFont"/>
    <w:uiPriority w:val="99"/>
    <w:semiHidden/>
    <w:locked/>
    <w:rsid w:val="00BD0B43"/>
    <w:rPr>
      <w:sz w:val="16"/>
      <w:szCs w:val="16"/>
    </w:rPr>
  </w:style>
  <w:style w:type="paragraph" w:styleId="CommentText">
    <w:name w:val="annotation text"/>
    <w:basedOn w:val="Normal"/>
    <w:link w:val="CommentTextChar"/>
    <w:uiPriority w:val="99"/>
    <w:semiHidden/>
    <w:locked/>
    <w:rsid w:val="00BD0B43"/>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BD0B43"/>
    <w:rPr>
      <w:sz w:val="20"/>
      <w:szCs w:val="20"/>
    </w:rPr>
  </w:style>
  <w:style w:type="paragraph" w:styleId="CommentSubject">
    <w:name w:val="annotation subject"/>
    <w:basedOn w:val="CommentText"/>
    <w:next w:val="CommentText"/>
    <w:link w:val="CommentSubjectChar"/>
    <w:uiPriority w:val="99"/>
    <w:semiHidden/>
    <w:locked/>
    <w:rsid w:val="00BD0B43"/>
    <w:rPr>
      <w:b/>
      <w:bCs/>
    </w:rPr>
  </w:style>
  <w:style w:type="character" w:customStyle="1" w:styleId="CommentSubjectChar">
    <w:name w:val="Comment Subject Char"/>
    <w:basedOn w:val="CommentTextChar"/>
    <w:link w:val="CommentSubject"/>
    <w:uiPriority w:val="99"/>
    <w:semiHidden/>
    <w:rsid w:val="00BD0B43"/>
    <w:rPr>
      <w:b/>
      <w:bCs/>
      <w:sz w:val="20"/>
      <w:szCs w:val="20"/>
    </w:rPr>
  </w:style>
  <w:style w:type="character" w:customStyle="1" w:styleId="SectionBodyChar">
    <w:name w:val="Section Body Char"/>
    <w:link w:val="SectionBody"/>
    <w:rsid w:val="005E0F04"/>
    <w:rPr>
      <w:rFonts w:eastAsia="Calibri"/>
      <w:color w:val="000000"/>
    </w:rPr>
  </w:style>
  <w:style w:type="character" w:customStyle="1" w:styleId="SectionHeadingChar">
    <w:name w:val="Section Heading Char"/>
    <w:link w:val="SectionHeading"/>
    <w:rsid w:val="00FD4B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F4BDD36024FFB9FC4CC97557E259E"/>
        <w:category>
          <w:name w:val="General"/>
          <w:gallery w:val="placeholder"/>
        </w:category>
        <w:types>
          <w:type w:val="bbPlcHdr"/>
        </w:types>
        <w:behaviors>
          <w:behavior w:val="content"/>
        </w:behaviors>
        <w:guid w:val="{AC32EE4F-E178-47D7-9B4C-4C9E791B0D98}"/>
      </w:docPartPr>
      <w:docPartBody>
        <w:p w:rsidR="002A42C1" w:rsidRDefault="002A42C1">
          <w:pPr>
            <w:pStyle w:val="538F4BDD36024FFB9FC4CC97557E259E"/>
          </w:pPr>
          <w:r w:rsidRPr="00B844FE">
            <w:t>Prefix Text</w:t>
          </w:r>
        </w:p>
      </w:docPartBody>
    </w:docPart>
    <w:docPart>
      <w:docPartPr>
        <w:name w:val="337CA8AADD024207BBAA0DA199A56B0B"/>
        <w:category>
          <w:name w:val="General"/>
          <w:gallery w:val="placeholder"/>
        </w:category>
        <w:types>
          <w:type w:val="bbPlcHdr"/>
        </w:types>
        <w:behaviors>
          <w:behavior w:val="content"/>
        </w:behaviors>
        <w:guid w:val="{5A2D1F36-C625-4749-A309-886546159F74}"/>
      </w:docPartPr>
      <w:docPartBody>
        <w:p w:rsidR="002A42C1" w:rsidRDefault="008966EC">
          <w:pPr>
            <w:pStyle w:val="337CA8AADD024207BBAA0DA199A56B0B"/>
          </w:pPr>
          <w:r w:rsidRPr="00B844FE">
            <w:t>[Type here]</w:t>
          </w:r>
        </w:p>
      </w:docPartBody>
    </w:docPart>
    <w:docPart>
      <w:docPartPr>
        <w:name w:val="57F6B754012B43938D9606CADF55750A"/>
        <w:category>
          <w:name w:val="General"/>
          <w:gallery w:val="placeholder"/>
        </w:category>
        <w:types>
          <w:type w:val="bbPlcHdr"/>
        </w:types>
        <w:behaviors>
          <w:behavior w:val="content"/>
        </w:behaviors>
        <w:guid w:val="{70CE24D4-DBBC-444E-9C36-2F67B7E39D86}"/>
      </w:docPartPr>
      <w:docPartBody>
        <w:p w:rsidR="002A42C1" w:rsidRDefault="002A42C1">
          <w:pPr>
            <w:pStyle w:val="57F6B754012B43938D9606CADF55750A"/>
          </w:pPr>
          <w:r w:rsidRPr="00B844FE">
            <w:t>Number</w:t>
          </w:r>
        </w:p>
      </w:docPartBody>
    </w:docPart>
    <w:docPart>
      <w:docPartPr>
        <w:name w:val="55B257E812444859B906AE57EF48C763"/>
        <w:category>
          <w:name w:val="General"/>
          <w:gallery w:val="placeholder"/>
        </w:category>
        <w:types>
          <w:type w:val="bbPlcHdr"/>
        </w:types>
        <w:behaviors>
          <w:behavior w:val="content"/>
        </w:behaviors>
        <w:guid w:val="{0D692460-342D-4055-8B20-D391AAD0E2FA}"/>
      </w:docPartPr>
      <w:docPartBody>
        <w:p w:rsidR="002A42C1" w:rsidRDefault="002A42C1">
          <w:pPr>
            <w:pStyle w:val="55B257E812444859B906AE57EF48C763"/>
          </w:pPr>
          <w:r w:rsidRPr="00B844FE">
            <w:t>Enter Sponsors Here</w:t>
          </w:r>
        </w:p>
      </w:docPartBody>
    </w:docPart>
    <w:docPart>
      <w:docPartPr>
        <w:name w:val="10B9FCC03D2D4208B800FA94CBC2F4BB"/>
        <w:category>
          <w:name w:val="General"/>
          <w:gallery w:val="placeholder"/>
        </w:category>
        <w:types>
          <w:type w:val="bbPlcHdr"/>
        </w:types>
        <w:behaviors>
          <w:behavior w:val="content"/>
        </w:behaviors>
        <w:guid w:val="{0F3608D6-D246-4583-9C3D-77738F72739B}"/>
      </w:docPartPr>
      <w:docPartBody>
        <w:p w:rsidR="002A42C1" w:rsidRDefault="002A42C1">
          <w:pPr>
            <w:pStyle w:val="10B9FCC03D2D4208B800FA94CBC2F4BB"/>
          </w:pPr>
          <w:r>
            <w:rPr>
              <w:rStyle w:val="PlaceholderText"/>
            </w:rPr>
            <w:t>Enter References</w:t>
          </w:r>
        </w:p>
      </w:docPartBody>
    </w:docPart>
    <w:docPart>
      <w:docPartPr>
        <w:name w:val="57DB366599374C41A18D1EFBACDF72C8"/>
        <w:category>
          <w:name w:val="General"/>
          <w:gallery w:val="placeholder"/>
        </w:category>
        <w:types>
          <w:type w:val="bbPlcHdr"/>
        </w:types>
        <w:behaviors>
          <w:behavior w:val="content"/>
        </w:behaviors>
        <w:guid w:val="{F020F5EB-F851-4138-90AF-16B119692BE1}"/>
      </w:docPartPr>
      <w:docPartBody>
        <w:p w:rsidR="00B11910" w:rsidRDefault="008966EC" w:rsidP="008966EC">
          <w:pPr>
            <w:pStyle w:val="57DB366599374C41A18D1EFBACDF72C8"/>
          </w:pPr>
          <w:r>
            <w:rPr>
              <w:b/>
              <w:bCs/>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C1"/>
    <w:rsid w:val="00166936"/>
    <w:rsid w:val="002A42C1"/>
    <w:rsid w:val="00602773"/>
    <w:rsid w:val="008966EC"/>
    <w:rsid w:val="00B11910"/>
    <w:rsid w:val="00C0417E"/>
    <w:rsid w:val="00D8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8F4BDD36024FFB9FC4CC97557E259E">
    <w:name w:val="538F4BDD36024FFB9FC4CC97557E259E"/>
  </w:style>
  <w:style w:type="paragraph" w:customStyle="1" w:styleId="337CA8AADD024207BBAA0DA199A56B0B">
    <w:name w:val="337CA8AADD024207BBAA0DA199A56B0B"/>
  </w:style>
  <w:style w:type="paragraph" w:customStyle="1" w:styleId="57F6B754012B43938D9606CADF55750A">
    <w:name w:val="57F6B754012B43938D9606CADF55750A"/>
  </w:style>
  <w:style w:type="paragraph" w:customStyle="1" w:styleId="55B257E812444859B906AE57EF48C763">
    <w:name w:val="55B257E812444859B906AE57EF48C763"/>
  </w:style>
  <w:style w:type="character" w:styleId="PlaceholderText">
    <w:name w:val="Placeholder Text"/>
    <w:basedOn w:val="DefaultParagraphFont"/>
    <w:uiPriority w:val="99"/>
    <w:semiHidden/>
    <w:rsid w:val="008966EC"/>
    <w:rPr>
      <w:color w:val="808080"/>
    </w:rPr>
  </w:style>
  <w:style w:type="paragraph" w:customStyle="1" w:styleId="10B9FCC03D2D4208B800FA94CBC2F4BB">
    <w:name w:val="10B9FCC03D2D4208B800FA94CBC2F4BB"/>
  </w:style>
  <w:style w:type="paragraph" w:customStyle="1" w:styleId="57DB366599374C41A18D1EFBACDF72C8">
    <w:name w:val="57DB366599374C41A18D1EFBACDF72C8"/>
    <w:rsid w:val="008966E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85</TotalTime>
  <Pages>10</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43</cp:revision>
  <cp:lastPrinted>2023-01-09T20:09:00Z</cp:lastPrinted>
  <dcterms:created xsi:type="dcterms:W3CDTF">2023-01-10T00:57:00Z</dcterms:created>
  <dcterms:modified xsi:type="dcterms:W3CDTF">2023-02-27T13:45:00Z</dcterms:modified>
</cp:coreProperties>
</file>